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PSYCHOTERAPIA UZALEŻNIEŃ  W PUNKCIE LECZENIA SUBSTYTUCYJNEGO 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((Dz.U z 2023 r. poz.991) oraz ustawy z dnia 27 sierpnia 2004 r. o świadczeniach opieki zdrowotnej finansowanych ze środków publicznych (Dz.U.2021 r.  poz.1285)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Dz.U .z 2023r. poz.991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psychoterapia uzależnień w punkcie leczenia substytucyjnego,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2"/>
          <w:szCs w:val="22"/>
          <w:lang w:eastAsia="pl-PL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do 120 godz. miesięcznie   -5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powyżej 120 godz. miesięcznie 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pkt za posiadanie  mgr z psychologii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pkt z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a posiadanie certyfikatu z psychoterapii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15 pkt za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posiadanie certyfikatu psychoterapeuty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</w:t>
      </w:r>
      <w:bookmarkStart w:id="1" w:name="_GoBack"/>
      <w:bookmarkEnd w:id="1"/>
      <w:r>
        <w:rPr>
          <w:rFonts w:eastAsia="Times New Roman" w:ascii="Times New Roman" w:hAnsi="Times New Roman"/>
          <w:sz w:val="20"/>
          <w:szCs w:val="20"/>
          <w:lang w:eastAsia="pl-PL"/>
        </w:rPr>
        <w:t>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0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7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951294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50188f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FAEE2-3D9D-4597-8967-90370B56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LibreOffice/7.6.2.1$Windows_X86_64 LibreOffice_project/56f7684011345957bbf33a7ee678afaf4d2ba333</Application>
  <AppVersion>15.0000</AppVersion>
  <Pages>4</Pages>
  <Words>1489</Words>
  <Characters>9808</Characters>
  <CharactersWithSpaces>11500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2018-11-19T12:18:00Z</dcterms:created>
  <dc:creator>Laptop1</dc:creator>
  <dc:description/>
  <dc:language>pl-PL</dc:language>
  <cp:lastModifiedBy/>
  <cp:lastPrinted>2017-02-15T12:37:00Z</cp:lastPrinted>
  <dcterms:modified xsi:type="dcterms:W3CDTF">2023-11-11T20:23:50Z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