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Psychoterapia  w całodobowym oddziale psychiatrycznym dla dzieci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(Dz.U. z 2023 r. poz.991)   oraz ustawy z dnia 27 sierpnia 2004 r. o świadczeniach opieki zdrowotnej finansowanych ze środków publicznych (Dz.U.2021 r., poz.1285)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(Dz.U. z 2023 r. poz.991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psychoterapia  w  całodobowym oddziale psychiatrycznym dla dzieci,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do 120 godz.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powyżej 120  godz. – 15 pk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3.</w:t>
      </w:r>
      <w:bookmarkStart w:id="1" w:name="_GoBack"/>
      <w:bookmarkEnd w:id="1"/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0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BodyText3"/>
        <w:rPr>
          <w:sz w:val="20"/>
        </w:rPr>
      </w:pPr>
      <w:r>
        <w:rPr>
          <w:sz w:val="20"/>
        </w:rPr>
      </w:r>
    </w:p>
    <w:p>
      <w:pPr>
        <w:pStyle w:val="BodyText3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b17fa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43C3-C99E-4F43-AB90-3F11557D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4</Pages>
  <Words>1478</Words>
  <Characters>9724</Characters>
  <CharactersWithSpaces>11399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2016-11-30T08:16:00Z</dcterms:created>
  <dc:creator>Laptop1</dc:creator>
  <dc:description/>
  <dc:language>pl-PL</dc:language>
  <cp:lastModifiedBy/>
  <cp:lastPrinted>2016-11-16T07:58:00Z</cp:lastPrinted>
  <dcterms:modified xsi:type="dcterms:W3CDTF">2023-11-11T20:02:11Z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